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8.png" ContentType="image/png"/>
  <Override PartName="/word/media/image17.png" ContentType="image/png"/>
  <Override PartName="/word/media/image11.png" ContentType="image/png"/>
  <Override PartName="/word/media/image2.png" ContentType="image/png"/>
  <Override PartName="/word/media/image7.png" ContentType="image/png"/>
  <Override PartName="/word/media/image1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5.png" ContentType="image/png"/>
  <Override PartName="/word/media/image14.png" ContentType="image/png"/>
  <Override PartName="/word/media/image6.png" ContentType="image/png"/>
  <Override PartName="/word/media/image3.jpeg" ContentType="image/jpeg"/>
  <Override PartName="/word/media/image15.png" ContentType="image/png"/>
  <Override PartName="/word/media/image10.png" ContentType="image/png"/>
  <Override PartName="/word/media/image1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uto" w:line="240"/>
        <w:jc w:val="center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МИНОБРНАУКИ РОССИИ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Федеральное государственное бюджетное образовательное учреждение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высшего образования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  <w:t>«САРАТОВСКИЙ НАЦИОНАЛЬНЫЙ ИССЛЕДОВАТЕЛЬСКИЙ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  <w:t>ГОСУДАРСТВЕННЫЙ УНИВЕРСИТЕТ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  <w:t>ИМЕНИ Н.Г. ЧЕРНЫШЕВСКОГО»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ListParagraph"/>
        <w:widowControl w:val="false"/>
        <w:numPr>
          <w:ilvl w:val="0"/>
          <w:numId w:val="0"/>
        </w:numPr>
        <w:spacing w:lineRule="auto" w:line="240" w:before="0" w:after="0"/>
        <w:ind w:hanging="0" w:start="341"/>
        <w:contextualSpacing/>
        <w:jc w:val="center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Arial" w:ascii="Times New Roman" w:hAnsi="Times New Roman" w:eastAsiaTheme="minorHAnsi"/>
          <w:b/>
          <w:bCs/>
          <w:i w:val="false"/>
          <w:iCs w:val="false"/>
          <w:kern w:val="0"/>
          <w:sz w:val="24"/>
          <w:szCs w:val="24"/>
          <w:lang w:val="ru-RU" w:eastAsia="en-US" w:bidi="ar-SA"/>
        </w:rPr>
        <w:t>ЗОЛОТОЕ ПРАВИЛО МЕХАНИКИ ДЛЯ ПРОСТЫХ МЕХАНИЗМОВ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РЕФЕРАТ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студента 1 курса 151 группы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направления 09.03.04 Программная инженерия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факультета КНиИТ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Мартиросяна Артёма Андраниковича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Проверено: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доцент                                                        ______________                              О.А. Черкасова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sectPr>
          <w:type w:val="nextPage"/>
          <w:pgSz w:w="11906" w:h="16838"/>
          <w:pgMar w:left="1134" w:right="1134" w:gutter="0" w:header="0" w:top="1134" w:footer="0" w:bottom="1134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spacing w:lineRule="auto" w:line="240"/>
        <w:jc w:val="center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Саратов 2025</w:t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  <w:t>СОДЕРЖАНИЕ</w:t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ВВЕДЕНИЕ………………………………………………………………………………………..   3</w:t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1    Появление «золотого правила механики»………………………………………………..….   4</w:t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2    Простейшие механизмы……………………………………………….……………………...   6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2.1    Рычаг…………………………………………………………………………………   7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2.2    Наклонная плоскость……………………………………………………………….    9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2.3    Блоки……………………………………………………………………………...….  10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ab/>
        <w:t>2.3.1    Неподвижный блок………………………………………………………..  11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ab/>
        <w:t>2.3.2    Подвижный блок…………………………………………………………..  12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ab/>
        <w:t>2.3.3    Система блоков……………………………………………………..……..  13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2.4    Ворот…………………………………………………………………………………  14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2.5    Винт………………………………………………………………………………….  15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ЗАКЛЮЧЕНИЕ…………………………………………………………………………………...  17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СПИСОК ИСПОЛЬЗОВАННЫХ ИСТОЧНИКОВ……………………………………………..  18</w:t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u w:val="none"/>
        </w:rPr>
      </w:pPr>
      <w:r>
        <w:rPr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  <w:t>ВВЕДЕНИЕ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u w:val="none"/>
        </w:rPr>
      </w:pPr>
      <w:r>
        <w:rPr>
          <w:u w:val="non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/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Ещё тысячи лет назад, до появления сложных технологий, человечество сталкивалось с задачами, которые требовали огромных усилий: передвижение тяжестей, строительство зданий, подъём воды из колодцев. Люди искали способы облегчить труд — использовали брёвна как катки, длинные шесты для рычагов, примитивные блоки. Но без понимания физических законов это было </w:t>
      </w:r>
      <w:r>
        <w:rPr>
          <w:rStyle w:val="Strong"/>
          <w:rFonts w:ascii="Times New Roman" w:hAnsi="Times New Roman"/>
          <w:b w:val="false"/>
          <w:bCs w:val="false"/>
          <w:i w:val="false"/>
          <w:iCs w:val="false"/>
          <w:u w:val="none"/>
        </w:rPr>
        <w:t>методом проб и ошибок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, а иногда — </w:t>
      </w:r>
      <w:r>
        <w:rPr>
          <w:rStyle w:val="Strong"/>
          <w:rFonts w:ascii="Times New Roman" w:hAnsi="Times New Roman"/>
          <w:b w:val="false"/>
          <w:bCs w:val="false"/>
          <w:i w:val="false"/>
          <w:iCs w:val="false"/>
          <w:u w:val="none"/>
        </w:rPr>
        <w:t>неоправданными затратами сил и времени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/>
      </w:pPr>
      <w:r>
        <w:rPr>
          <w:rStyle w:val="Strong"/>
          <w:rFonts w:ascii="Times New Roman" w:hAnsi="Times New Roman"/>
          <w:b w:val="false"/>
          <w:bCs w:val="false"/>
          <w:i w:val="false"/>
          <w:iCs w:val="false"/>
        </w:rPr>
        <w:t>Почему «золотое правило механики» стало прорывом?</w:t>
      </w:r>
      <w:r>
        <w:rPr>
          <w:rFonts w:ascii="Times New Roman" w:hAnsi="Times New Roman"/>
          <w:i w:val="false"/>
          <w:iCs w:val="false"/>
        </w:rPr>
        <w:t xml:space="preserve"> Оно дало точный расчёт: </w:t>
      </w:r>
      <w:r>
        <w:rPr>
          <w:rStyle w:val="Emphasis"/>
          <w:rFonts w:ascii="Times New Roman" w:hAnsi="Times New Roman"/>
          <w:i w:val="false"/>
          <w:iCs w:val="false"/>
        </w:rPr>
        <w:t>во сколько раз механизм уменьшает нужное усилие, во столько же раз увеличивает расстояние</w:t>
      </w:r>
      <w:r>
        <w:rPr>
          <w:rFonts w:ascii="Times New Roman" w:hAnsi="Times New Roman"/>
          <w:i w:val="false"/>
          <w:iCs w:val="false"/>
        </w:rPr>
        <w:t xml:space="preserve">. Это позволило не просто угадывать, а </w:t>
      </w:r>
      <w:r>
        <w:rPr>
          <w:rStyle w:val="Strong"/>
          <w:rFonts w:ascii="Times New Roman" w:hAnsi="Times New Roman"/>
          <w:b w:val="false"/>
          <w:bCs w:val="false"/>
          <w:i w:val="false"/>
          <w:iCs w:val="false"/>
        </w:rPr>
        <w:t>конструировать эффективные инструменты</w:t>
      </w:r>
      <w:r>
        <w:rPr>
          <w:rFonts w:ascii="Times New Roman" w:hAnsi="Times New Roman"/>
          <w:i w:val="false"/>
          <w:iCs w:val="false"/>
        </w:rPr>
        <w:t xml:space="preserve"> — от рычагов Архимеда до современных подъёмных кранов.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В этом реферате пойдёт речь о том, как золотое правило работает в простых механизмах, и будет подтверждено, что даже древние технологии, основанные на нём, остаются гениальными и сегодня.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  <w:t>1 Появление «золотого правила механики»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Герон Александрийский — один из крупнейших ученых-энциклопедистов древности, автор целого ряда сочинений по математике и механике. </w:t>
      </w:r>
      <w:r>
        <w:rPr>
          <w:rFonts w:ascii="Times New Roman" w:hAnsi="Times New Roman"/>
          <w:i w:val="false"/>
          <w:iCs w:val="false"/>
        </w:rPr>
        <w:t>Научное творчество Герона чрезвычайно велико и многообразно. Он был математиком, механиком-теоретиком и практиком, талантливым инженером. Несколько работ Герона посвящены механике, одна из которых — трактат «Механика» — единственное полностью дошедшее до нас общее руководство по античной статике. Трактат состоит из трех книг, первая из которых содержит вопросы теории. Вторая книга «Механики» посвящена классификации, описанию, действию и практическому применению пяти «простых машин» (рычаг, блок, винт, ворот, клин). В ней содержатся отрывки из ранних произведений Архимеда: «Книги опор» и «Книги о рычаге», известных только в передаче Герона и по сохранившимся комментариям к ним Евтокия и Симпликия. В третьей книге описаны различные устройства для поднятия тяжестей и виды процессов как комбинаций «простых машин».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В то же время Герон рассматривает точки приложения сил не в состоянии равновесия, а в процессе нарушений этого равновесия, то есть следует и принципам кинематического направления статики. Он доказывает, что при применении машин груз перемещается медленнее: «что выигрывается в силе, то проигрывается в скорости» — знаменитое «золотое правило механики», которое считают элементарной формой принципа виртуальных перемещений. Герон так сформулировал основной закон работы машины: «Если при пользовании машиной требуется увеличение силы, то в результате происходит замедление, ибо чем менее движущая сила по отношению к движимой тяжести, тем больше потребуется и времени; таким образом, сила к силе и время ко времени находятся в том же самом обратном отношении», не используя понятие скорости, ведь его в античной механике еще не было.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Исходя из этого принципа, Герон объясняет действие уже не «простых машин», а их комбинаций. Он рассматривает два типа таких комбинаций: комбинации однородных машин (сочетания по несколько блоков, воротов и рычагов) и комбинации неоднородных машин (сочетания ворот-винт, блок-рычаг и т. д.). Сопровождая описание этих механизмов числовыми примерами, он на каждом из них демонстрирует «золотое правило механики».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1260475</wp:posOffset>
            </wp:positionH>
            <wp:positionV relativeFrom="paragraph">
              <wp:posOffset>46990</wp:posOffset>
            </wp:positionV>
            <wp:extent cx="3704590" cy="2669540"/>
            <wp:effectExtent l="0" t="0" r="0" b="0"/>
            <wp:wrapSquare wrapText="largest"/>
            <wp:docPr id="1" name="Изображение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9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Рисунок 1.1 — Герон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Наиболее характерны для конца первого тысячелетия нашей эры сочинения крупнейшего ученого-энциклопедиста X в. Ибн Сины. Хотя трактат «Мерило разума» Ибн Сины абсолютно лишен даже элементов теории и представляет собой чисто практическое руководство, значение его в истории науки о механизмах велико. Это вторая в истории механики попытка классификации машин и механизмов.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2151380</wp:posOffset>
            </wp:positionH>
            <wp:positionV relativeFrom="paragraph">
              <wp:posOffset>13335</wp:posOffset>
            </wp:positionV>
            <wp:extent cx="2353945" cy="2574290"/>
            <wp:effectExtent l="0" t="0" r="0" b="0"/>
            <wp:wrapSquare wrapText="largest"/>
            <wp:docPr id="2" name="Изображение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94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Рисунок 1.2 — Ибн Сина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В дальнейшем характерна уже совершенно иная тенденция. В трактатах этого времени обычно рассматривается какой-либо один вид простых машин, приводится максимально строгая его теория и затем дается описание и классификация всевозможных механизмов и устройств, являющихся его модификациями. [1]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Для различных механизмов «золотое правило механики» выглядит по-разному, общий вид математического выражения: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start"/>
        <w:rPr>
          <w:rFonts w:ascii="Times New Roman" w:hAnsi="Times New Roman"/>
          <w:i w:val="false"/>
          <w:i w:val="false"/>
          <w:iCs w:val="false"/>
        </w:rPr>
      </w:pPr>
      <w:r>
        <w:rPr/>
      </w:r>
      <m:oMathPara xmlns:m="http://schemas.openxmlformats.org/officeDocument/2006/math">
        <m:oMathParaPr>
          <m:jc m:val="left"/>
        </m:oMathParaPr>
        <m:oMath>
          <m:r>
            <m:t xml:space="preserve">F</m:t>
          </m:r>
          <m:r>
            <m:t xml:space="preserve">₁</m:t>
          </m:r>
          <m:r>
            <m:t xml:space="preserve">⋅</m:t>
          </m:r>
          <m:r>
            <m:t xml:space="preserve">S</m:t>
          </m:r>
          <m:r>
            <m:t xml:space="preserve">₁</m:t>
          </m:r>
          <m:r>
            <m:t xml:space="preserve">=</m:t>
          </m:r>
          <m:r>
            <m:t xml:space="preserve">F</m:t>
          </m:r>
          <m:r>
            <m:t xml:space="preserve">₂</m:t>
          </m:r>
          <m:r>
            <m:t xml:space="preserve">⋅</m:t>
          </m:r>
          <m:r>
            <m:t xml:space="preserve">S</m:t>
          </m:r>
          <m:r>
            <m:t xml:space="preserve">₂</m:t>
          </m:r>
        </m:oMath>
      </m:oMathPara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где: F</w:t>
      </w:r>
      <w:r>
        <w:rPr>
          <w:rFonts w:eastAsia="Liberation Serif" w:cs="Liberation Serif" w:ascii="Times New Roman" w:hAnsi="Times New Roman"/>
          <w:i w:val="false"/>
          <w:iCs w:val="false"/>
        </w:rPr>
        <w:t>₁</w:t>
      </w:r>
      <w:r>
        <w:rPr>
          <w:rFonts w:ascii="Times New Roman" w:hAnsi="Times New Roman"/>
          <w:i w:val="false"/>
          <w:iCs w:val="false"/>
        </w:rPr>
        <w:t xml:space="preserve"> и F</w:t>
      </w:r>
      <w:r>
        <w:rPr>
          <w:rFonts w:eastAsia="Liberation Serif" w:cs="Liberation Serif" w:ascii="Times New Roman" w:hAnsi="Times New Roman"/>
          <w:i w:val="false"/>
          <w:iCs w:val="false"/>
        </w:rPr>
        <w:t>₂</w:t>
      </w:r>
      <w:r>
        <w:rPr>
          <w:rFonts w:ascii="Times New Roman" w:hAnsi="Times New Roman"/>
          <w:i w:val="false"/>
          <w:iCs w:val="false"/>
        </w:rPr>
        <w:t xml:space="preserve"> — приложенные силы, S</w:t>
      </w:r>
      <w:r>
        <w:rPr>
          <w:rFonts w:eastAsia="Liberation Serif" w:cs="Liberation Serif" w:ascii="Times New Roman" w:hAnsi="Times New Roman"/>
          <w:i w:val="false"/>
          <w:iCs w:val="false"/>
        </w:rPr>
        <w:t>₁</w:t>
      </w:r>
      <w:r>
        <w:rPr>
          <w:rFonts w:ascii="Times New Roman" w:hAnsi="Times New Roman"/>
          <w:i w:val="false"/>
          <w:iCs w:val="false"/>
        </w:rPr>
        <w:t xml:space="preserve"> и S</w:t>
      </w:r>
      <w:r>
        <w:rPr>
          <w:rFonts w:eastAsia="Liberation Serif" w:cs="Liberation Serif" w:ascii="Times New Roman" w:hAnsi="Times New Roman"/>
          <w:i w:val="false"/>
          <w:iCs w:val="false"/>
        </w:rPr>
        <w:t>₂</w:t>
      </w:r>
      <w:r>
        <w:rPr>
          <w:rFonts w:ascii="Times New Roman" w:hAnsi="Times New Roman"/>
          <w:i w:val="false"/>
          <w:iCs w:val="false"/>
        </w:rPr>
        <w:t xml:space="preserve"> — пути, пройденные под действием этих сил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  <w:i w:val="false"/>
          <w:iCs w:val="false"/>
        </w:rPr>
        <w:t xml:space="preserve">Золотое правило является следствием </w:t>
      </w:r>
      <w:r>
        <w:rPr>
          <w:rStyle w:val="Strong"/>
          <w:rFonts w:ascii="Times New Roman" w:hAnsi="Times New Roman"/>
          <w:b w:val="false"/>
          <w:bCs w:val="false"/>
          <w:i w:val="false"/>
          <w:iCs w:val="false"/>
        </w:rPr>
        <w:t>закона сохранения механической энергии</w:t>
      </w:r>
      <w:r>
        <w:rPr>
          <w:rFonts w:ascii="Times New Roman" w:hAnsi="Times New Roman"/>
          <w:i w:val="false"/>
          <w:iCs w:val="false"/>
        </w:rPr>
        <w:t xml:space="preserve"> (при отсутствии потерь на трение):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/>
      </w:r>
      <m:oMath xmlns:m="http://schemas.openxmlformats.org/officeDocument/2006/math">
        <m:r>
          <m:t xml:space="preserve">A</m:t>
        </m:r>
        <m:r>
          <m:t xml:space="preserve">=</m:t>
        </m:r>
        <m:r>
          <m:t xml:space="preserve">const</m:t>
        </m:r>
      </m:oMath>
      <w:r>
        <w:rPr>
          <w:rFonts w:ascii="Times New Roman" w:hAnsi="Times New Roman"/>
          <w:i w:val="false"/>
          <w:iCs w:val="false"/>
        </w:rPr>
        <w:t xml:space="preserve">, </w:t>
      </w:r>
      <w:r>
        <w:rPr/>
      </w:r>
      <m:oMath xmlns:m="http://schemas.openxmlformats.org/officeDocument/2006/math">
        <m:r>
          <m:t xml:space="preserve">A</m:t>
        </m:r>
        <m:r>
          <m:t xml:space="preserve">₁</m:t>
        </m:r>
        <m:r>
          <m:t xml:space="preserve">=</m:t>
        </m:r>
        <m:r>
          <m:t xml:space="preserve">A</m:t>
        </m:r>
        <m:r>
          <m:t xml:space="preserve">₂</m:t>
        </m:r>
      </m:oMath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где: A</w:t>
      </w:r>
      <w:r>
        <w:rPr>
          <w:rFonts w:eastAsia="Liberation Serif" w:cs="Liberation Serif" w:ascii="Times New Roman" w:hAnsi="Times New Roman"/>
          <w:i w:val="false"/>
          <w:iCs w:val="false"/>
        </w:rPr>
        <w:t>₁</w:t>
      </w:r>
      <w:r>
        <w:rPr>
          <w:rFonts w:ascii="Times New Roman" w:hAnsi="Times New Roman"/>
          <w:i w:val="false"/>
          <w:iCs w:val="false"/>
        </w:rPr>
        <w:t xml:space="preserve"> — полезная работа, A</w:t>
      </w:r>
      <w:r>
        <w:rPr>
          <w:rFonts w:eastAsia="Liberation Serif" w:cs="Liberation Serif" w:ascii="Times New Roman" w:hAnsi="Times New Roman"/>
          <w:i w:val="false"/>
          <w:iCs w:val="false"/>
        </w:rPr>
        <w:t>₂</w:t>
      </w:r>
      <w:r>
        <w:rPr>
          <w:rFonts w:ascii="Times New Roman" w:hAnsi="Times New Roman"/>
          <w:i w:val="false"/>
          <w:iCs w:val="false"/>
        </w:rPr>
        <w:t xml:space="preserve"> — полная работа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На практике приходится различать полезную работу A</w:t>
      </w:r>
      <w:r>
        <w:rPr>
          <w:rFonts w:eastAsia="Liberation Serif" w:cs="Liberation Serif" w:ascii="Times New Roman" w:hAnsi="Times New Roman"/>
          <w:i w:val="false"/>
          <w:iCs w:val="false"/>
        </w:rPr>
        <w:t>₁</w:t>
      </w:r>
      <w:r>
        <w:rPr>
          <w:rFonts w:ascii="Times New Roman" w:hAnsi="Times New Roman"/>
          <w:i w:val="false"/>
          <w:iCs w:val="false"/>
        </w:rPr>
        <w:t>, которую нужно совершить при помощи механизма в идеальных условиях отсутствия каких-либо потерь, и полную работу A</w:t>
      </w:r>
      <w:r>
        <w:rPr>
          <w:rFonts w:eastAsia="Liberation Serif" w:cs="Liberation Serif" w:ascii="Times New Roman" w:hAnsi="Times New Roman"/>
          <w:i w:val="false"/>
          <w:iCs w:val="false"/>
        </w:rPr>
        <w:t>₂</w:t>
      </w:r>
      <w:r>
        <w:rPr>
          <w:rFonts w:ascii="Times New Roman" w:hAnsi="Times New Roman"/>
          <w:i w:val="false"/>
          <w:iCs w:val="false"/>
        </w:rPr>
        <w:t>, которая совершается для тех же целей в реальной ситуации. Отношение полезной работы к полной называется коэффициентом полезного действия (КПД) механизма: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start"/>
        <w:rPr>
          <w:rFonts w:ascii="Times New Roman" w:hAnsi="Times New Roman"/>
          <w:i w:val="false"/>
          <w:i w:val="false"/>
          <w:iCs w:val="false"/>
        </w:rPr>
      </w:pPr>
      <w:r>
        <w:rPr/>
      </w:r>
      <m:oMathPara xmlns:m="http://schemas.openxmlformats.org/officeDocument/2006/math">
        <m:oMathParaPr>
          <m:jc m:val="left"/>
        </m:oMathParaPr>
        <m:oMath>
          <m:r>
            <m:t xml:space="preserve">η</m:t>
          </m:r>
          <m:r>
            <m:t xml:space="preserve">=</m:t>
          </m:r>
          <m:f>
            <m:num>
              <m:r>
                <m:t xml:space="preserve">A</m:t>
              </m:r>
              <m:r>
                <m:t xml:space="preserve">₁</m:t>
              </m:r>
            </m:num>
            <m:den>
              <m:r>
                <m:t xml:space="preserve">A</m:t>
              </m:r>
              <m:r>
                <m:t xml:space="preserve">₂</m:t>
              </m:r>
            </m:den>
          </m:f>
        </m:oMath>
      </m:oMathPara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В реальности часть энергии теряется на трение, поэтому КПД &lt; 100%. [2]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  <w:t>2 Простейшие механизмы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Простейшие механизмы — приспособления, которые дают возможность не только тратить меньше энергии на выполнение работы, но и делать ее с большей скоростью и эффективностью. Для большей наглядности «золотого правила механики» будут рассмотрены 5 простейших механизмов: рычаг, наклонная плоскость, блоки, ворот и винт.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1033780</wp:posOffset>
            </wp:positionH>
            <wp:positionV relativeFrom="paragraph">
              <wp:posOffset>50800</wp:posOffset>
            </wp:positionV>
            <wp:extent cx="3703320" cy="3703320"/>
            <wp:effectExtent l="0" t="0" r="0" b="0"/>
            <wp:wrapSquare wrapText="largest"/>
            <wp:docPr id="3" name="Изображение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5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  <w:t>Рисунок 2.1 — различные устройства, работающие по принципу «золотому правилу механики»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  <w:t>2.1 Рычаг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Рычаг - это твёрдое тело, которое может вращаться вокруг неподвижной оси.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Основные части: точка опоры и сам рычаг.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1393190</wp:posOffset>
            </wp:positionH>
            <wp:positionV relativeFrom="paragraph">
              <wp:posOffset>117475</wp:posOffset>
            </wp:positionV>
            <wp:extent cx="2840990" cy="1861185"/>
            <wp:effectExtent l="0" t="0" r="0" b="0"/>
            <wp:wrapSquare wrapText="largest"/>
            <wp:docPr id="4" name="Изображение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99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Рисунок 2.1.1 — рычаг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Точка О — ось вращения, АВ — рычаг, к концам рычага (точкам А и В) приложены силы F</w:t>
      </w:r>
      <w:r>
        <w:rPr>
          <w:rFonts w:eastAsia="Liberation Serif" w:cs="Liberation Serif" w:ascii="Times New Roman" w:hAnsi="Times New Roman"/>
          <w:i w:val="false"/>
          <w:iCs w:val="false"/>
        </w:rPr>
        <w:t>₁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 и F</w:t>
      </w:r>
      <w:r>
        <w:rPr>
          <w:rFonts w:eastAsia="Liberation Serif" w:cs="Liberation Serif" w:ascii="Times New Roman" w:hAnsi="Times New Roman"/>
          <w:i w:val="false"/>
          <w:iCs w:val="false"/>
        </w:rPr>
        <w:t>₂, плечи этих сил — l₁ и l₂. Условие равновесия рычага даётся правилом моментов: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/>
      </w:r>
      <m:oMath xmlns:m="http://schemas.openxmlformats.org/officeDocument/2006/math">
        <m:r>
          <m:t xml:space="preserve">F</m:t>
        </m:r>
        <m:r>
          <m:t xml:space="preserve">₁</m:t>
        </m:r>
        <m:r>
          <m:t xml:space="preserve">⋅</m:t>
        </m:r>
        <m:r>
          <m:t xml:space="preserve">l</m:t>
        </m:r>
        <m:r>
          <m:t xml:space="preserve">₁</m:t>
        </m:r>
        <m:r>
          <m:t xml:space="preserve">=</m:t>
        </m:r>
        <m:r>
          <m:t xml:space="preserve">F</m:t>
        </m:r>
        <m:r>
          <m:t xml:space="preserve">₂</m:t>
        </m:r>
        <m:r>
          <m:t xml:space="preserve">⋅</m:t>
        </m:r>
        <m:r>
          <m:t xml:space="preserve">l</m:t>
        </m:r>
        <m:r>
          <m:t xml:space="preserve">₂</m:t>
        </m:r>
      </m:oMath>
      <w:r>
        <w:rPr>
          <w:rFonts w:eastAsia="Liberation Serif" w:cs="Liberation Serif" w:ascii="Times New Roman" w:hAnsi="Times New Roman"/>
          <w:i w:val="false"/>
          <w:iCs w:val="false"/>
        </w:rPr>
        <w:t xml:space="preserve">, следовательно, </w:t>
      </w:r>
      <w:r>
        <w:rPr/>
      </w:r>
      <m:oMath xmlns:m="http://schemas.openxmlformats.org/officeDocument/2006/math">
        <m:f>
          <m:num>
            <m:r>
              <m:t xml:space="preserve">F</m:t>
            </m:r>
            <m:r>
              <m:t xml:space="preserve">₁</m:t>
            </m:r>
          </m:num>
          <m:den>
            <m:r>
              <m:t xml:space="preserve">F</m:t>
            </m:r>
            <m:r>
              <m:t xml:space="preserve">₂</m:t>
            </m:r>
          </m:den>
        </m:f>
        <m:r>
          <m:t xml:space="preserve">=</m:t>
        </m:r>
        <m:f>
          <m:num>
            <m:r>
              <m:t xml:space="preserve">l</m:t>
            </m:r>
            <m:r>
              <m:t xml:space="preserve">₂</m:t>
            </m:r>
          </m:num>
          <m:den>
            <m:r>
              <m:t xml:space="preserve">l</m:t>
            </m:r>
            <m:r>
              <m:t xml:space="preserve">₁</m:t>
            </m:r>
          </m:den>
        </m:f>
      </m:oMath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Liberation Serif" w:cs="Liberation Serif" w:ascii="Times New Roman" w:hAnsi="Times New Roman"/>
          <w:i w:val="false"/>
          <w:iCs w:val="false"/>
        </w:rPr>
        <w:t>Из этого соотношения следует, что рычаг даёт выигрыш в силе или в расстоянии во столько раз, во сколько большее плечо длиннее меньшего. [2]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Liberation Serif" w:cs="Liberation Serif" w:ascii="Times New Roman" w:hAnsi="Times New Roman"/>
          <w:i w:val="false"/>
          <w:iCs w:val="false"/>
        </w:rPr>
        <w:t>Существует 2 типа рычагов: рычаг первого и второго рода. В рычаге первого рода действующие силы приложены с разных сторон от точки опоры, а в рычаге второго рода — по одну сторону. [3]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Liberation Serif" w:cs="Liberation Serif"/>
        </w:rPr>
      </w:pPr>
      <w:r>
        <w:rPr>
          <w:rFonts w:eastAsia="Liberation Serif" w:cs="Liberation Serif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Liberation Serif" w:cs="Liberation Serif" w:ascii="Times New Roman" w:hAnsi="Times New Roman"/>
          <w:i w:val="false"/>
          <w:iCs w:val="false"/>
        </w:rPr>
        <w:t>Примеры рычагов 1-го рода: ножницы, плоскогубцы, гвоздодёр.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106045</wp:posOffset>
            </wp:positionH>
            <wp:positionV relativeFrom="paragraph">
              <wp:posOffset>124460</wp:posOffset>
            </wp:positionV>
            <wp:extent cx="2340610" cy="1654810"/>
            <wp:effectExtent l="0" t="0" r="0" b="0"/>
            <wp:wrapSquare wrapText="largest"/>
            <wp:docPr id="5" name="Изображение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2390140</wp:posOffset>
            </wp:positionH>
            <wp:positionV relativeFrom="paragraph">
              <wp:posOffset>167640</wp:posOffset>
            </wp:positionV>
            <wp:extent cx="3246755" cy="1381125"/>
            <wp:effectExtent l="0" t="0" r="0" b="0"/>
            <wp:wrapSquare wrapText="largest"/>
            <wp:docPr id="6" name="Изображение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75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 xml:space="preserve">      </w:t>
      </w:r>
      <w:r>
        <w:rPr>
          <w:rFonts w:ascii="Times New Roman" w:hAnsi="Times New Roman"/>
          <w:i w:val="false"/>
          <w:iCs w:val="false"/>
        </w:rPr>
        <w:t xml:space="preserve">Рисунок 2.1.2 — ножницы                              Рисунок 2.1.3 —  гвоздодёр и плоскогубцы     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 xml:space="preserve">Примеры рычагов 2-го рода: лопата, тачка. 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-62865</wp:posOffset>
            </wp:positionH>
            <wp:positionV relativeFrom="paragraph">
              <wp:posOffset>116205</wp:posOffset>
            </wp:positionV>
            <wp:extent cx="1768475" cy="1659890"/>
            <wp:effectExtent l="0" t="0" r="0" b="0"/>
            <wp:wrapSquare wrapText="largest"/>
            <wp:docPr id="7" name="Изображение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47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2703830</wp:posOffset>
            </wp:positionH>
            <wp:positionV relativeFrom="paragraph">
              <wp:posOffset>97155</wp:posOffset>
            </wp:positionV>
            <wp:extent cx="2232025" cy="1656715"/>
            <wp:effectExtent l="0" t="0" r="0" b="0"/>
            <wp:wrapSquare wrapText="largest"/>
            <wp:docPr id="8" name="Изображение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7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25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 xml:space="preserve">Рисунок 2.1.4 — лопата                                      Рисунок 2.1.5 — тачка  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  <w:t>2.2 Наклонная плоскость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  <w:t>Наклонная плоскость — это ровная плоская поверхность, расположенная под некоторым углом α к горизонту.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1185545</wp:posOffset>
            </wp:positionH>
            <wp:positionV relativeFrom="paragraph">
              <wp:posOffset>93980</wp:posOffset>
            </wp:positionV>
            <wp:extent cx="3484245" cy="2128520"/>
            <wp:effectExtent l="0" t="0" r="0" b="0"/>
            <wp:wrapSquare wrapText="largest"/>
            <wp:docPr id="9" name="Изображение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8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24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                           </w:t>
      </w:r>
      <w:r>
        <w:rPr>
          <w:rFonts w:ascii="Times New Roman" w:hAnsi="Times New Roman"/>
          <w:b w:val="false"/>
          <w:bCs w:val="false"/>
          <w:i w:val="false"/>
          <w:iCs w:val="false"/>
        </w:rPr>
        <w:t>Рисунок 2.2.1 — наклонная плоскость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  <w:t>Так как груз движется без ускорения, то сумма всех векторов действующих на него сил равна нулю: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/>
      </w:r>
      <m:oMathPara xmlns:m="http://schemas.openxmlformats.org/officeDocument/2006/math">
        <m:oMathParaPr>
          <m:jc m:val="left"/>
        </m:oMathParaPr>
        <m:oMath>
          <m:r>
            <m:t xml:space="preserve">m</m:t>
          </m:r>
          <m:r>
            <m:t xml:space="preserve">⋅</m:t>
          </m:r>
          <m:acc>
            <m:accPr>
              <m:chr m:val="⃗"/>
            </m:accPr>
            <m:e>
              <m:r>
                <m:t xml:space="preserve">g</m:t>
              </m:r>
            </m:e>
          </m:acc>
          <m:r>
            <m:t xml:space="preserve">+</m:t>
          </m:r>
          <m:acc>
            <m:accPr>
              <m:chr m:val="⃗"/>
            </m:accPr>
            <m:e>
              <m:r>
                <m:t xml:space="preserve">N</m:t>
              </m:r>
            </m:e>
          </m:acc>
          <m:r>
            <m:t xml:space="preserve">+</m:t>
          </m:r>
          <m:acc>
            <m:accPr>
              <m:chr m:val="⃗"/>
            </m:accPr>
            <m:e>
              <m:r>
                <m:t xml:space="preserve">F</m:t>
              </m:r>
            </m:e>
          </m:acc>
          <m:r>
            <m:t xml:space="preserve">=</m:t>
          </m:r>
          <m:acc>
            <m:accPr>
              <m:chr m:val="⃗"/>
            </m:accPr>
            <m:e>
              <m:r>
                <m:t xml:space="preserve">0</m:t>
              </m:r>
            </m:e>
          </m:acc>
        </m:oMath>
      </m:oMathPara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где: </w:t>
      </w:r>
      <w:r>
        <w:rPr/>
      </w:r>
      <m:oMath xmlns:m="http://schemas.openxmlformats.org/officeDocument/2006/math">
        <m:r>
          <m:t xml:space="preserve">m</m:t>
        </m:r>
        <m:r>
          <m:t xml:space="preserve">⋅</m:t>
        </m:r>
        <m:acc>
          <m:accPr>
            <m:chr m:val="⃗"/>
          </m:accPr>
          <m:e>
            <m:r>
              <m:t xml:space="preserve">g</m:t>
            </m:r>
          </m:e>
        </m:acc>
      </m:oMath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 — сила тяжести, </w:t>
      </w:r>
      <w:r>
        <w:rPr/>
      </w:r>
      <m:oMath xmlns:m="http://schemas.openxmlformats.org/officeDocument/2006/math">
        <m:acc>
          <m:accPr>
            <m:chr m:val="⃗"/>
          </m:accPr>
          <m:e>
            <m:r>
              <m:t xml:space="preserve">N</m:t>
            </m:r>
          </m:e>
        </m:acc>
      </m:oMath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 — сила реакции опоры, </w:t>
      </w:r>
      <w:r>
        <w:rPr/>
      </w:r>
      <m:oMath xmlns:m="http://schemas.openxmlformats.org/officeDocument/2006/math">
        <m:acc>
          <m:accPr>
            <m:chr m:val="⃗"/>
          </m:accPr>
          <m:e>
            <m:r>
              <m:t xml:space="preserve">F</m:t>
            </m:r>
          </m:e>
        </m:acc>
      </m:oMath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 — прикладываемая сила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  <w:t>Проектируя на ось X: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/>
      </w:r>
      <m:oMath xmlns:m="http://schemas.openxmlformats.org/officeDocument/2006/math">
        <m:r>
          <m:t xml:space="preserve">−</m:t>
        </m:r>
        <m:r>
          <m:t xml:space="preserve">m</m:t>
        </m:r>
        <m:r>
          <m:t xml:space="preserve">⋅</m:t>
        </m:r>
        <m:r>
          <m:t xml:space="preserve">g</m:t>
        </m:r>
        <m:r>
          <m:t xml:space="preserve">⋅</m:t>
        </m:r>
        <m:r>
          <m:t xml:space="preserve">sin</m:t>
        </m:r>
        <m:r>
          <m:t xml:space="preserve">α</m:t>
        </m:r>
        <m:r>
          <m:t xml:space="preserve">+</m:t>
        </m:r>
        <m:r>
          <m:t xml:space="preserve">F</m:t>
        </m:r>
        <m:r>
          <m:t xml:space="preserve">=</m:t>
        </m:r>
        <m:r>
          <m:t xml:space="preserve">0</m:t>
        </m:r>
      </m:oMath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, следовательно, </w:t>
      </w:r>
      <w:r>
        <w:rPr/>
      </w:r>
      <m:oMath xmlns:m="http://schemas.openxmlformats.org/officeDocument/2006/math">
        <m:r>
          <m:t xml:space="preserve">F</m:t>
        </m:r>
        <m:r>
          <m:t xml:space="preserve">=</m:t>
        </m:r>
        <m:r>
          <m:t xml:space="preserve">m</m:t>
        </m:r>
        <m:r>
          <m:t xml:space="preserve">⋅</m:t>
        </m:r>
        <m:r>
          <m:t xml:space="preserve">g</m:t>
        </m:r>
        <m:r>
          <m:t xml:space="preserve">⋅</m:t>
        </m:r>
        <m:r>
          <m:t xml:space="preserve">sin</m:t>
        </m:r>
        <m:r>
          <m:t xml:space="preserve">α</m:t>
        </m:r>
      </m:oMath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 [2]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  <w:t xml:space="preserve">Именно такую силу нужно приложить, что двигать груз вверх по наклонной плоскости. Так как sin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α &lt; 1, то всегда F &lt; mg. Наклонная плоскость даёт выигрыш в силе, и тем больший, чем меньше угол α. Для аналогии с общим видом «золотого правила механики» можно расписать sinα по определению: </w:t>
      </w:r>
      <w:r>
        <w:rPr/>
      </w:r>
      <m:oMath xmlns:m="http://schemas.openxmlformats.org/officeDocument/2006/math">
        <m:r>
          <m:t xml:space="preserve">sin</m:t>
        </m:r>
        <m:r>
          <m:t xml:space="preserve">α</m:t>
        </m:r>
        <m:r>
          <m:t xml:space="preserve">=</m:t>
        </m:r>
        <m:f>
          <m:num>
            <m:r>
              <m:t xml:space="preserve">h</m:t>
            </m:r>
          </m:num>
          <m:den>
            <m:r>
              <m:t xml:space="preserve">l</m:t>
            </m:r>
          </m:den>
        </m:f>
      </m:oMath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, где h — высота наклонной плоскости, l — длина наклонной плоскости, и получить: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/>
      </w:r>
      <m:oMathPara xmlns:m="http://schemas.openxmlformats.org/officeDocument/2006/math">
        <m:oMathParaPr>
          <m:jc m:val="left"/>
        </m:oMathParaPr>
        <m:oMath>
          <m:f>
            <m:num>
              <m:r>
                <m:t xml:space="preserve">F</m:t>
              </m:r>
            </m:num>
            <m:den>
              <m:r>
                <m:t xml:space="preserve">m</m:t>
              </m:r>
              <m:r>
                <m:t xml:space="preserve">⋅</m:t>
              </m:r>
              <m:r>
                <m:t xml:space="preserve">g</m:t>
              </m:r>
            </m:den>
          </m:f>
          <m:r>
            <m:t xml:space="preserve">=</m:t>
          </m:r>
          <m:f>
            <m:num>
              <m:r>
                <m:t xml:space="preserve">h</m:t>
              </m:r>
            </m:num>
            <m:den>
              <m:r>
                <m:t xml:space="preserve">l</m:t>
              </m:r>
            </m:den>
          </m:f>
        </m:oMath>
      </m:oMathPara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Пример наклонных плоскостей: погрузочные рампы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1828165</wp:posOffset>
            </wp:positionH>
            <wp:positionV relativeFrom="paragraph">
              <wp:posOffset>100330</wp:posOffset>
            </wp:positionV>
            <wp:extent cx="2539365" cy="1692910"/>
            <wp:effectExtent l="0" t="0" r="0" b="0"/>
            <wp:wrapSquare wrapText="largest"/>
            <wp:docPr id="10" name="Изображение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9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36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                                                  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Рисунок 2.2.2 — погрузочная рампа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/>
          <w:bCs/>
          <w:i w:val="false"/>
          <w:iCs w:val="false"/>
        </w:rPr>
        <w:t>2.3 Блоки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Архимед (287–212 до н.э.) — древнегреческий учёный, чьи работы заложили основы классической механики. Его труды о рычагах, блоках и других механизмах стали первым научным обоснованием </w:t>
      </w:r>
      <w:r>
        <w:rPr>
          <w:rStyle w:val="Strong"/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«золотого правила механики»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Согласно легенде, Архимед написал Гиерону, что сможет сдвинуть любой груз и будь в его распоряжении другая земля, на которую можно было бы встать, он сдвинул бы с места и нашу. Для проверки утверждений Архимеда на берег вытащили трехмачтовое грузовое судно, полностью заполнили трюм и посадили на корму команду матросов. Архимед сел поодаль и начал вытягивать пропущенный через систему блоков прикрепленный к кораблю канат. Судно начало двигаться, «так ровно и медленно, словно плыло по морю». Тогда, по легенде, Архимед произнес: «Дайте мне точку опоры, и я переверну Землю». [4]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Блоки — одна из разновидностей рычага. Блок представляет собой укреплённое в обойме колесо с жёлобом, по которому пропущена верёвка. Существует 2 вида блоков: подвижный и неподвижный.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1396365</wp:posOffset>
            </wp:positionH>
            <wp:positionV relativeFrom="paragraph">
              <wp:posOffset>8255</wp:posOffset>
            </wp:positionV>
            <wp:extent cx="3020060" cy="4053840"/>
            <wp:effectExtent l="0" t="0" r="0" b="0"/>
            <wp:wrapSquare wrapText="largest"/>
            <wp:docPr id="11" name="Изображение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06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                                          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Рисунок 2.3.1 — Архимед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/>
          <w:bCs/>
          <w:i w:val="false"/>
          <w:iCs w:val="false"/>
        </w:rPr>
        <w:t>2.3.1 Неподвижный блок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1765935</wp:posOffset>
            </wp:positionH>
            <wp:positionV relativeFrom="paragraph">
              <wp:posOffset>126365</wp:posOffset>
            </wp:positionV>
            <wp:extent cx="1898650" cy="2430780"/>
            <wp:effectExtent l="0" t="0" r="0" b="0"/>
            <wp:wrapSquare wrapText="largest"/>
            <wp:docPr id="12" name="Изображение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/>
          <w:bCs/>
          <w:i w:val="false"/>
          <w:iCs w:val="false"/>
        </w:rPr>
        <w:t xml:space="preserve">                                       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Рисунок 2.3.1.1 — неподвижный блок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  <w:b w:val="false"/>
          <w:bCs w:val="false"/>
        </w:rPr>
      </w:pPr>
      <w:r>
        <w:rPr>
          <w:rFonts w:eastAsia="Noto Serif CJK SC" w:cs="Noto Sans Devanagari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У неподвижного блока неподвижная ось вращения (она проходит перпендикулярно рисунку через точку О). Вес </w:t>
      </w:r>
      <w:r>
        <w:rPr/>
      </w:r>
      <m:oMath xmlns:m="http://schemas.openxmlformats.org/officeDocument/2006/math">
        <m:acc>
          <m:accPr>
            <m:chr m:val="⃗"/>
          </m:accPr>
          <m:e>
            <m:r>
              <m:t xml:space="preserve">P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 приложен к точке D, в которой груз крепится к правому концу нити. К левому концу нити в точке C приложена сила </w:t>
      </w:r>
      <w:r>
        <w:rPr/>
      </w:r>
      <m:oMath xmlns:m="http://schemas.openxmlformats.org/officeDocument/2006/math">
        <m:acc>
          <m:accPr>
            <m:chr m:val="⃗"/>
          </m:accPr>
          <m:e>
            <m:r>
              <m:t xml:space="preserve">F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. Плечо силы </w:t>
      </w:r>
      <w:r>
        <w:rPr/>
      </w:r>
      <m:oMath xmlns:m="http://schemas.openxmlformats.org/officeDocument/2006/math">
        <m:acc>
          <m:accPr>
            <m:chr m:val="⃗"/>
          </m:accPr>
          <m:e>
            <m:r>
              <m:t xml:space="preserve">F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 (OA) равно радиусу блока. Плечо веса </w:t>
      </w:r>
      <w:r>
        <w:rPr/>
      </w:r>
      <m:oMath xmlns:m="http://schemas.openxmlformats.org/officeDocument/2006/math">
        <m:acc>
          <m:accPr>
            <m:chr m:val="⃗"/>
          </m:accPr>
          <m:e>
            <m:r>
              <m:t xml:space="preserve">P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 (OB) тоже равно радиусу блока. Значит, неподвижный блок является равноплечим рычагом и потому не даёт выигрыша ни в силе, ни в расстоянии. Обычно неподвижный блок используется как часть более сложных механизмов и полезен тем, что позволяет изменить направление усилия. [2]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/>
          <w:bCs/>
          <w:i w:val="false"/>
          <w:iCs w:val="false"/>
        </w:rPr>
        <w:t>2.3.2 Подвижный блок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2085975</wp:posOffset>
            </wp:positionH>
            <wp:positionV relativeFrom="paragraph">
              <wp:posOffset>12065</wp:posOffset>
            </wp:positionV>
            <wp:extent cx="1631315" cy="2569210"/>
            <wp:effectExtent l="0" t="0" r="0" b="0"/>
            <wp:wrapSquare wrapText="largest"/>
            <wp:docPr id="13" name="Изображение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31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                                 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Рисунок 2.3.2.1 — подвижный блок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У подвижного блока ось перемещается вместе с грузом, подвешенным на нити OD. В данный момент времени неподвижной точкой является точка A, и именно вокруг неё поворачивается блок. Вес груза </w:t>
      </w:r>
      <w:r>
        <w:rPr/>
      </w:r>
      <m:oMath xmlns:m="http://schemas.openxmlformats.org/officeDocument/2006/math">
        <m:acc>
          <m:accPr>
            <m:chr m:val="⃗"/>
          </m:accPr>
          <m:e>
            <m:r>
              <m:t xml:space="preserve">P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 приложен в точке D крепления груза к нити. Плечо силы </w:t>
      </w:r>
      <w:r>
        <w:rPr/>
      </w:r>
      <m:oMath xmlns:m="http://schemas.openxmlformats.org/officeDocument/2006/math">
        <m:acc>
          <m:accPr>
            <m:chr m:val="⃗"/>
          </m:accPr>
          <m:e>
            <m:r>
              <m:t xml:space="preserve">P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 равно (AO) равно радиусу блока, а плечо силы </w:t>
      </w:r>
      <w:r>
        <w:rPr/>
      </w:r>
      <m:oMath xmlns:m="http://schemas.openxmlformats.org/officeDocument/2006/math">
        <m:acc>
          <m:accPr>
            <m:chr m:val="⃗"/>
          </m:accPr>
          <m:e>
            <m:r>
              <m:t xml:space="preserve">F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, с которой мы тянем за нить, оказывается в два раза больше: оно равно (AB) диаметру блока. Значит, условием равновесия груза является равенство </w:t>
      </w:r>
      <w:r>
        <w:rPr/>
      </w:r>
      <m:oMath xmlns:m="http://schemas.openxmlformats.org/officeDocument/2006/math">
        <m:r>
          <m:t xml:space="preserve">F</m:t>
        </m:r>
        <m:r>
          <m:t xml:space="preserve">=</m:t>
        </m:r>
        <m:f>
          <m:num>
            <m:r>
              <m:t xml:space="preserve">P</m:t>
            </m:r>
          </m:num>
          <m:den>
            <m:r>
              <m:t xml:space="preserve">2</m:t>
            </m:r>
          </m:den>
        </m:f>
      </m:oMath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. Следовательно, подвижный блок даёт выигрыш в силе в два раза. При этом, в те же два раза получается проигрыш в расстоянии.[2]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/>
          <w:bCs/>
          <w:i w:val="false"/>
          <w:iCs w:val="false"/>
        </w:rPr>
        <w:t>2.3.3 Система блоков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Система блоков (полиспаст) — комбинация неподвижных и подвижных блоков. Его выигрыш в силе (и проигрыш в расстоянии) напрямую зависит от количества подвижных блоков в нём (пусть количество подвижных блоков — n, тогда выигрыш в силе и проигрыш в расстоянии в системе в </w:t>
      </w:r>
      <w:r>
        <w:rPr/>
      </w:r>
      <m:oMath xmlns:m="http://schemas.openxmlformats.org/officeDocument/2006/math">
        <m:sSup>
          <m:e>
            <m:r>
              <m:t xml:space="preserve">2</m:t>
            </m:r>
          </m:e>
          <m:sup>
            <m:r>
              <m:t xml:space="preserve">n</m:t>
            </m:r>
          </m:sup>
        </m:sSup>
      </m:oMath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 раз).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  <w:b w:val="false"/>
          <w:bCs w:val="false"/>
        </w:rPr>
      </w:pPr>
      <w:r>
        <w:rPr>
          <w:rFonts w:eastAsia="Noto Serif CJK SC" w:cs="Noto Sans Devanagari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Примеры: грузоподъёмные механизмы, с</w:t>
      </w:r>
      <w:r>
        <w:rPr>
          <w:rFonts w:eastAsia="Noto Serif CJK SC" w:cs="Noto Sans Devanagari" w:ascii="Times New Roman" w:hAnsi="Times New Roman"/>
          <w:i w:val="false"/>
          <w:iCs w:val="false"/>
        </w:rPr>
        <w:t>удовые такелажные системы.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441325</wp:posOffset>
            </wp:positionH>
            <wp:positionV relativeFrom="paragraph">
              <wp:posOffset>136525</wp:posOffset>
            </wp:positionV>
            <wp:extent cx="1222375" cy="3094355"/>
            <wp:effectExtent l="0" t="0" r="0" b="0"/>
            <wp:wrapSquare wrapText="largest"/>
            <wp:docPr id="14" name="Изображение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37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2427605</wp:posOffset>
            </wp:positionH>
            <wp:positionV relativeFrom="paragraph">
              <wp:posOffset>111760</wp:posOffset>
            </wp:positionV>
            <wp:extent cx="3348990" cy="1945640"/>
            <wp:effectExtent l="0" t="0" r="0" b="0"/>
            <wp:wrapSquare wrapText="largest"/>
            <wp:docPr id="15" name="Изображение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>Рисунки 2.3.3.1 и 2.3.3.2 — грузоподъёмные механизмы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-23495</wp:posOffset>
            </wp:positionH>
            <wp:positionV relativeFrom="paragraph">
              <wp:posOffset>62230</wp:posOffset>
            </wp:positionV>
            <wp:extent cx="3818255" cy="2036445"/>
            <wp:effectExtent l="0" t="0" r="0" b="0"/>
            <wp:wrapSquare wrapText="largest"/>
            <wp:docPr id="16" name="Изображение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5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3912235</wp:posOffset>
            </wp:positionH>
            <wp:positionV relativeFrom="paragraph">
              <wp:posOffset>10795</wp:posOffset>
            </wp:positionV>
            <wp:extent cx="2092325" cy="1672590"/>
            <wp:effectExtent l="0" t="0" r="0" b="0"/>
            <wp:wrapSquare wrapText="largest"/>
            <wp:docPr id="17" name="Изображение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32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 xml:space="preserve">Рисунки 2.3.3.3 и 2.3.3.4 — </w:t>
      </w: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>с</w:t>
      </w:r>
      <w:r>
        <w:rPr>
          <w:rFonts w:eastAsia="Noto Serif CJK SC" w:cs="Noto Sans Devanagari" w:ascii="Times New Roman" w:hAnsi="Times New Roman"/>
          <w:i w:val="false"/>
          <w:iCs w:val="false"/>
        </w:rPr>
        <w:t>удовые такелажные системы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/>
          <w:bCs/>
          <w:i w:val="false"/>
          <w:iCs w:val="false"/>
        </w:rPr>
        <w:t>2.4 Ворот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Ворот — ещё одна разновидность рычага. Ворот 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состоит из цилиндра с прикреплённой к нему рукояткой. 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2355850</wp:posOffset>
            </wp:positionH>
            <wp:positionV relativeFrom="paragraph">
              <wp:posOffset>12065</wp:posOffset>
            </wp:positionV>
            <wp:extent cx="1428750" cy="2514600"/>
            <wp:effectExtent l="0" t="0" r="0" b="0"/>
            <wp:wrapSquare wrapText="largest"/>
            <wp:docPr id="18" name="Изображение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 xml:space="preserve">                             </w:t>
      </w:r>
      <w:r>
        <w:rPr>
          <w:rFonts w:eastAsia="Noto Serif CJK SC" w:cs="Noto Sans Devanagari" w:ascii="Times New Roman" w:hAnsi="Times New Roman"/>
          <w:i w:val="false"/>
          <w:iCs w:val="false"/>
        </w:rPr>
        <w:t>Рисунок 2.4.1 — ворот на примере колодца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>На рисунке плечами сил F</w:t>
      </w:r>
      <w:r>
        <w:rPr>
          <w:rFonts w:eastAsia="Liberation Serif" w:cs="Liberation Serif" w:ascii="Times New Roman" w:hAnsi="Times New Roman"/>
          <w:i w:val="false"/>
          <w:iCs w:val="false"/>
        </w:rPr>
        <w:t>₁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 и F</w:t>
      </w:r>
      <w:r>
        <w:rPr>
          <w:rFonts w:eastAsia="Liberation Serif" w:cs="Liberation Serif" w:ascii="Times New Roman" w:hAnsi="Times New Roman"/>
          <w:i w:val="false"/>
          <w:iCs w:val="false"/>
        </w:rPr>
        <w:t>₂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 являются соответственно радиусы r и R, по которым вместе с воротом «вращаются» точки приложения сил. По условию равновесия рычага: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start"/>
        <w:rPr>
          <w:rFonts w:ascii="Times New Roman" w:hAnsi="Times New Roman"/>
          <w:i w:val="false"/>
          <w:i w:val="false"/>
          <w:iCs w:val="false"/>
        </w:rPr>
      </w:pPr>
      <w:r>
        <w:rPr/>
      </w:r>
      <m:oMathPara xmlns:m="http://schemas.openxmlformats.org/officeDocument/2006/math">
        <m:oMathParaPr>
          <m:jc m:val="left"/>
        </m:oMathParaPr>
        <m:oMath>
          <m:f>
            <m:num>
              <m:r>
                <m:t xml:space="preserve">F</m:t>
              </m:r>
              <m:r>
                <m:t xml:space="preserve">₁</m:t>
              </m:r>
            </m:num>
            <m:den>
              <m:r>
                <m:t xml:space="preserve">F</m:t>
              </m:r>
              <m:r>
                <m:t xml:space="preserve">₂</m:t>
              </m:r>
            </m:den>
          </m:f>
          <m:r>
            <m:t xml:space="preserve">=</m:t>
          </m:r>
          <m:f>
            <m:num>
              <m:r>
                <m:t xml:space="preserve">R</m:t>
              </m:r>
            </m:num>
            <m:den>
              <m:r>
                <m:t xml:space="preserve">r</m:t>
              </m:r>
            </m:den>
          </m:f>
        </m:oMath>
      </m:oMathPara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>Также примером ворота может послужить отвёертка, которая тоже является цилиндром с прикреплённой к нему рукояткой. При вращении отвёртки мы получаем выигрыш в силе, равный отношению радиуса рукоятки к радиусу стержня (чем длиннее рукоятка, тем меньше сила). [5]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509270</wp:posOffset>
            </wp:positionH>
            <wp:positionV relativeFrom="paragraph">
              <wp:posOffset>147320</wp:posOffset>
            </wp:positionV>
            <wp:extent cx="5048250" cy="942975"/>
            <wp:effectExtent l="0" t="0" r="0" b="0"/>
            <wp:wrapSquare wrapText="largest"/>
            <wp:docPr id="19" name="Изображение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/>
          <w:bCs/>
          <w:i w:val="false"/>
          <w:iCs w:val="false"/>
        </w:rPr>
        <w:t>2.5 Винт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Изобретение винта приписывается Архимеду. Винт представляет собой </w:t>
      </w:r>
      <w:r>
        <w:rPr>
          <w:rFonts w:eastAsia="Noto Serif CJK SC" w:cs="Noto Sans Devanagari" w:ascii="Times New Roman" w:hAnsi="Times New Roman"/>
          <w:i w:val="false"/>
          <w:iCs w:val="false"/>
        </w:rPr>
        <w:t>спираль с очень крупной резьбой, помещённая внутрь цилиндра.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>Винт чаще всего используется как приспособление для получения выигрыша в силе, поскольку резьба – это наклонная плоскость.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 xml:space="preserve">Пусть наклонную плоскость высотой h и длиной l «обмотали» вокруг цилиндра (см. рисунок 2.5.1). Когда гайку поворачивают, она движется по наклонной плоскости. 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 xml:space="preserve">Выигрыш в силе </w:t>
      </w:r>
      <w:r>
        <w:rPr/>
      </w:r>
      <m:oMath xmlns:m="http://schemas.openxmlformats.org/officeDocument/2006/math">
        <m:f>
          <m:num>
            <m:r>
              <m:t xml:space="preserve">F</m:t>
            </m:r>
            <m:r>
              <m:t xml:space="preserve">₁</m:t>
            </m:r>
          </m:num>
          <m:den>
            <m:r>
              <m:t xml:space="preserve">F</m:t>
            </m:r>
            <m:r>
              <m:t xml:space="preserve">₂</m:t>
            </m:r>
          </m:den>
        </m:f>
      </m:oMath>
      <w:r>
        <w:rPr>
          <w:rFonts w:eastAsia="Noto Serif CJK SC" w:cs="Noto Sans Devanagari" w:ascii="Times New Roman" w:hAnsi="Times New Roman"/>
          <w:i w:val="false"/>
          <w:iCs w:val="false"/>
        </w:rPr>
        <w:t xml:space="preserve"> оказывается равным </w:t>
      </w:r>
      <w:r>
        <w:rPr/>
      </w:r>
      <m:oMath xmlns:m="http://schemas.openxmlformats.org/officeDocument/2006/math">
        <m:f>
          <m:num>
            <m:r>
              <m:t xml:space="preserve">l</m:t>
            </m:r>
          </m:num>
          <m:den>
            <m:r>
              <m:t xml:space="preserve">h</m:t>
            </m:r>
          </m:den>
        </m:f>
      </m:oMath>
      <w:r>
        <w:rPr>
          <w:rFonts w:eastAsia="Noto Serif CJK SC" w:cs="Noto Sans Devanagari" w:ascii="Times New Roman" w:hAnsi="Times New Roman"/>
          <w:i w:val="false"/>
          <w:iCs w:val="false"/>
        </w:rPr>
        <w:t xml:space="preserve">, так как это отношение расстояния h, на которое перемещается нагрузка, к расстоянию l, проходимому точкой приложения усилия. Поскольку гипотенуза всегда больше катета, наклонная плоскость даёт выигрыш в силе. 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890270</wp:posOffset>
            </wp:positionH>
            <wp:positionV relativeFrom="paragraph">
              <wp:posOffset>95885</wp:posOffset>
            </wp:positionV>
            <wp:extent cx="4286250" cy="981075"/>
            <wp:effectExtent l="0" t="0" r="0" b="0"/>
            <wp:wrapSquare wrapText="largest"/>
            <wp:docPr id="20" name="Изображение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 xml:space="preserve">                              </w:t>
      </w:r>
      <w:r>
        <w:rPr>
          <w:rFonts w:eastAsia="Noto Serif CJK SC" w:cs="Noto Sans Devanagari" w:ascii="Times New Roman" w:hAnsi="Times New Roman"/>
          <w:i w:val="false"/>
          <w:iCs w:val="false"/>
        </w:rPr>
        <w:t>Рисунок 2.5.1 — винт как наклонная плоскость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t>Применение: п</w:t>
      </w:r>
      <w:r>
        <w:rPr>
          <w:rFonts w:eastAsia="Noto Serif CJK SC" w:cs="Noto Sans Devanagari" w:ascii="Times New Roman" w:hAnsi="Times New Roman"/>
          <w:i w:val="false"/>
          <w:iCs w:val="false"/>
        </w:rPr>
        <w:t>ри вращении винта выступы его резьбы зачёрпывали жидкость и увлекали её по цилиндру. В итоге вода выливалась через верхний открытый конец. Таким образом, поместив один конец цилиндра в воду, а другой расположив выше, жидкость подавали на более высокий уровень, приводя винт во вращение.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1716405</wp:posOffset>
            </wp:positionH>
            <wp:positionV relativeFrom="paragraph">
              <wp:posOffset>75565</wp:posOffset>
            </wp:positionV>
            <wp:extent cx="2381250" cy="1428750"/>
            <wp:effectExtent l="0" t="0" r="0" b="0"/>
            <wp:wrapSquare wrapText="largest"/>
            <wp:docPr id="21" name="Изображение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 xml:space="preserve">                                   </w:t>
      </w:r>
      <w:r>
        <w:rPr>
          <w:rFonts w:eastAsia="Noto Serif CJK SC" w:cs="Noto Sans Devanagari" w:ascii="Times New Roman" w:hAnsi="Times New Roman"/>
          <w:i w:val="false"/>
          <w:iCs w:val="false"/>
        </w:rPr>
        <w:t>Рисунок 2.5.2 — применение винта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>Подобный винт применялся для подъёма воды при орошении территорий и для осушения шахт, низин и заболоченных мест. [6]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>Примеры: домкрат, пресс, горный серпантин, шурупы.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425450</wp:posOffset>
            </wp:positionH>
            <wp:positionV relativeFrom="paragraph">
              <wp:posOffset>3175</wp:posOffset>
            </wp:positionV>
            <wp:extent cx="2590800" cy="2409190"/>
            <wp:effectExtent l="0" t="0" r="0" b="0"/>
            <wp:wrapSquare wrapText="largest"/>
            <wp:docPr id="22" name="Изображение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3478530</wp:posOffset>
            </wp:positionH>
            <wp:positionV relativeFrom="paragraph">
              <wp:posOffset>10160</wp:posOffset>
            </wp:positionV>
            <wp:extent cx="2406015" cy="2406015"/>
            <wp:effectExtent l="0" t="0" r="0" b="0"/>
            <wp:wrapSquare wrapText="largest"/>
            <wp:docPr id="23" name="Изображение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01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>Рисунок 2.5.3 — винтовой домкрат                      Рисунок 2.5.4 — винтовой пресс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2833370</wp:posOffset>
            </wp:positionH>
            <wp:positionV relativeFrom="paragraph">
              <wp:posOffset>128905</wp:posOffset>
            </wp:positionV>
            <wp:extent cx="2707640" cy="1553210"/>
            <wp:effectExtent l="0" t="0" r="0" b="0"/>
            <wp:wrapSquare wrapText="largest"/>
            <wp:docPr id="24" name="Изображение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59055</wp:posOffset>
            </wp:positionH>
            <wp:positionV relativeFrom="paragraph">
              <wp:posOffset>140970</wp:posOffset>
            </wp:positionV>
            <wp:extent cx="2520950" cy="1532255"/>
            <wp:effectExtent l="0" t="0" r="0" b="0"/>
            <wp:wrapSquare wrapText="largest"/>
            <wp:docPr id="25" name="Изображение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10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  <w:t xml:space="preserve">    </w:t>
      </w:r>
      <w:r>
        <w:rPr>
          <w:rFonts w:eastAsia="Noto Serif CJK SC" w:cs="Noto Sans Devanagari" w:ascii="Times New Roman" w:hAnsi="Times New Roman"/>
          <w:i w:val="false"/>
          <w:iCs w:val="false"/>
        </w:rPr>
        <w:t>Рисунок 2.5.5 — горный серпантин                       Рисунок 2.5.6 — шурупы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/>
          <w:bCs/>
          <w:i w:val="false"/>
          <w:iCs w:val="false"/>
        </w:rPr>
        <w:t>ЗАКЛЮЧЕНИЕ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eastAsia="Noto Serif CJK SC" w:cs="Noto Sans Devanagari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/>
      </w:pPr>
      <w:r>
        <w:rPr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ab/>
        <w:t>«</w:t>
      </w:r>
      <w:r>
        <w:rPr>
          <w:rStyle w:val="Emphasis"/>
          <w:rFonts w:eastAsia="Noto Serif CJK SC" w:cs="Noto Sans Devanagari" w:ascii="Times New Roman" w:hAnsi="Times New Roman"/>
          <w:i w:val="false"/>
          <w:iCs w:val="false"/>
        </w:rPr>
        <w:t>Золотое правило механики» — это связь между практическим применением простых механизмов и фундаментальным законом сохранения энергии. Оно показывает, что невозможно получить выигрыш в силе без компенсации в расстоянии, и наоборот. Также оно подтверждает, что механизмы не создают энергию, а лишь преобразуют её форму.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/>
      </w:pPr>
      <w:r>
        <w:rPr>
          <w:rStyle w:val="Emphasis"/>
          <w:rFonts w:eastAsia="Noto Serif CJK SC" w:cs="Noto Sans Devanagari" w:ascii="Times New Roman" w:hAnsi="Times New Roman"/>
          <w:i w:val="false"/>
          <w:iCs w:val="false"/>
        </w:rPr>
        <w:t>Тема «золотого правила механики» актуальна по сей день, потому что оно является основой для большинства инженерных изобретений, помогает экономить энергию и наглядно демонстрирует как законы физики упрощают жизнь. Это правило применяется в робототехнике (в манипуляторах роботов используют аналоги рычагов и блоков для точного управления силой), строительстве (современные краны и подъёмники работают на принципах полиспастов), быту (ножницы с длинными ручками, домкраты, открывашки для бутылок), сфере транспорта (наклонные плоскости в виде серпантинов и пандусов снижают нагрузку на двигатели).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/>
      </w:pPr>
      <w:r>
        <w:rPr>
          <w:rStyle w:val="Emphasis"/>
          <w:rFonts w:eastAsia="Noto Serif CJK SC" w:cs="Noto Sans Devanagari" w:ascii="Times New Roman" w:hAnsi="Times New Roman"/>
          <w:i w:val="false"/>
          <w:iCs w:val="false"/>
        </w:rPr>
        <w:t>Среди современных направлений, связанных с «золотым правилом механики», можно отметить нанотехнологии (исследования в области молекулярных машин (Нобелевская премия 2016 года) показывают, что золотое правило работает даже на микроуровне), бионику (протезы и экзоскелеты используют принцип рычага для усиления человеческих возможностей).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Style w:val="Emphasis"/>
          <w:rFonts w:ascii="Times New Roman" w:hAnsi="Times New Roman" w:eastAsia="Noto Serif CJK SC" w:cs="Noto Sans Devanagari"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/>
      </w:pPr>
      <w:r>
        <w:rPr>
          <w:rStyle w:val="Emphasis"/>
          <w:rFonts w:eastAsia="Noto Serif CJK SC" w:cs="Noto Sans Devanagari" w:ascii="Times New Roman" w:hAnsi="Times New Roman"/>
          <w:b/>
          <w:bCs/>
          <w:i w:val="false"/>
          <w:iCs w:val="false"/>
        </w:rPr>
        <w:t>СПИСОК ИСПОЛЬЗОВАННЫХ ИСТОЧНИКОВ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Style w:val="Emphasis"/>
          <w:rFonts w:ascii="Times New Roman" w:hAnsi="Times New Roman" w:eastAsia="Noto Serif CJK SC" w:cs="Noto Sans Devanagari"/>
          <w:b/>
          <w:bCs/>
          <w:i w:val="false"/>
          <w:i w:val="false"/>
          <w:iCs w:val="false"/>
        </w:rPr>
      </w:pPr>
      <w:r>
        <w:rPr>
          <w:rFonts w:eastAsia="Noto Serif CJK SC" w:cs="Noto Sans Devanagari" w:ascii="Times New Roman" w:hAnsi="Times New Roman"/>
          <w:b/>
          <w:bCs/>
          <w:i w:val="false"/>
          <w:i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/>
      </w:pPr>
      <w:r>
        <w:rPr>
          <w:rStyle w:val="Emphasis"/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1. М. М. Рожанская </w:t>
      </w:r>
      <w:r>
        <w:rPr>
          <w:rFonts w:ascii="Times New Roman" w:hAnsi="Times New Roman"/>
          <w:b w:val="false"/>
          <w:bCs w:val="false"/>
        </w:rPr>
        <w:t>«Механика» Герона:</w:t>
      </w:r>
      <w:r>
        <w:rPr>
          <w:rStyle w:val="Emphasis"/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 </w:t>
      </w:r>
      <w:hyperlink r:id="rId27">
        <w:r>
          <w:rPr>
            <w:rStyle w:val="Hyperlink"/>
            <w:rFonts w:eastAsia="Noto Serif CJK SC" w:cs="Noto Sans Devanagari" w:ascii="Times New Roman" w:hAnsi="Times New Roman"/>
            <w:b w:val="false"/>
            <w:bCs w:val="false"/>
            <w:i w:val="false"/>
            <w:iCs w:val="false"/>
          </w:rPr>
          <w:t>http://www.sno.pro1.ru/lib/npian/11.htm</w:t>
        </w:r>
      </w:hyperlink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/>
      </w:pPr>
      <w:r>
        <w:rPr>
          <w:rStyle w:val="Emphasis"/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2. И.В.Яковлев «Электронный учебник по физике» </w:t>
      </w:r>
      <w:hyperlink r:id="rId28">
        <w:r>
          <w:rPr>
            <w:rStyle w:val="Hyperlink"/>
            <w:rFonts w:eastAsia="Noto Serif CJK SC" w:cs="Noto Sans Devanagari" w:ascii="Times New Roman" w:hAnsi="Times New Roman"/>
            <w:b w:val="false"/>
            <w:bCs w:val="false"/>
            <w:i w:val="false"/>
            <w:iCs w:val="false"/>
          </w:rPr>
          <w:t>https://mathus.ru/phys/book.pdf</w:t>
        </w:r>
      </w:hyperlink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/>
      </w:pPr>
      <w:r>
        <w:rPr>
          <w:rStyle w:val="Emphasis"/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3. А.В.Самсонова «Рычаг. Типы (виды) рычагов» </w:t>
      </w:r>
      <w:hyperlink r:id="rId29">
        <w:r>
          <w:rPr>
            <w:rStyle w:val="Hyperlink"/>
            <w:rFonts w:eastAsia="Noto Serif CJK SC" w:cs="Noto Sans Devanagari" w:ascii="Times New Roman" w:hAnsi="Times New Roman"/>
            <w:b w:val="false"/>
            <w:bCs w:val="false"/>
            <w:i w:val="false"/>
            <w:iCs w:val="false"/>
          </w:rPr>
          <w:t>https://allasamsonova.ru/rychag-tipy-vidy-rychagov</w:t>
        </w:r>
      </w:hyperlink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/>
      </w:pPr>
      <w:r>
        <w:rPr>
          <w:rStyle w:val="Emphasis"/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4. Статья Владимирской научной областной библиотеки об Архимеде </w:t>
      </w:r>
      <w:hyperlink r:id="rId30">
        <w:r>
          <w:rPr>
            <w:rStyle w:val="Hyperlink"/>
            <w:rFonts w:eastAsia="Noto Serif CJK SC" w:cs="Noto Sans Devanagari" w:ascii="Times New Roman" w:hAnsi="Times New Roman"/>
            <w:b w:val="false"/>
            <w:bCs w:val="false"/>
            <w:i w:val="false"/>
            <w:iCs w:val="false"/>
          </w:rPr>
          <w:t>https://library.vladimir.ru/news/arximed-dajte-mne-tochku-opory-i-ya-perevernu-zemlyu.html</w:t>
        </w:r>
      </w:hyperlink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/>
      </w:pPr>
      <w:r>
        <w:rPr>
          <w:rStyle w:val="Emphasis"/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5. </w:t>
      </w:r>
      <w:hyperlink r:id="rId31">
        <w:r>
          <w:rPr>
            <w:rStyle w:val="Hyperlink"/>
            <w:rFonts w:eastAsia="Noto Serif CJK SC" w:cs="Noto Sans Devanagari" w:ascii="Times New Roman" w:hAnsi="Times New Roman"/>
            <w:b w:val="false"/>
            <w:bCs w:val="false"/>
            <w:i w:val="false"/>
            <w:iCs w:val="false"/>
          </w:rPr>
          <w:t>https://www.fizika.ru/fakultat/index.php?theme=3&amp;id=3286</w:t>
        </w:r>
      </w:hyperlink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/>
      </w:pPr>
      <w:r>
        <w:rPr>
          <w:rStyle w:val="Emphasis"/>
          <w:rFonts w:eastAsia="Noto Serif CJK SC" w:cs="Noto Sans Devanagari" w:ascii="Times New Roman" w:hAnsi="Times New Roman"/>
          <w:b w:val="false"/>
          <w:bCs w:val="false"/>
          <w:i w:val="false"/>
          <w:iCs w:val="false"/>
        </w:rPr>
        <w:t xml:space="preserve">6. </w:t>
      </w:r>
      <w:hyperlink r:id="rId32">
        <w:r>
          <w:rPr>
            <w:rStyle w:val="Hyperlink"/>
            <w:rFonts w:eastAsia="Noto Serif CJK SC" w:cs="Noto Sans Devanagari" w:ascii="Times New Roman" w:hAnsi="Times New Roman"/>
            <w:b w:val="false"/>
            <w:bCs w:val="false"/>
            <w:i w:val="false"/>
            <w:iCs w:val="false"/>
          </w:rPr>
          <w:t>https://www.fizika.ru/fakultat/index.php?theme=3&amp;id=3278</w:t>
        </w:r>
      </w:hyperlink>
    </w:p>
    <w:sectPr>
      <w:footerReference w:type="even" r:id="rId33"/>
      <w:footerReference w:type="default" r:id="rId34"/>
      <w:footerReference w:type="first" r:id="rId35"/>
      <w:type w:val="nextPage"/>
      <w:pgSz w:w="11906" w:h="16838"/>
      <w:pgMar w:left="1701" w:right="567" w:gutter="0" w:header="0" w:top="1134" w:footer="1134" w:bottom="1693"/>
      <w:pgNumType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erif">
    <w:altName w:val="Times New Roman"/>
    <w:charset w:val="01" w:characterSet="utf-8"/>
    <w:family w:val="swiss"/>
    <w:pitch w:val="variable"/>
  </w:font>
  <w:font w:name="OpenSymbol">
    <w:altName w:val="Arial Unicode MS"/>
    <w:charset w:val="01" w:characterSet="utf-8"/>
    <w:family w:val="roman"/>
    <w:pitch w:val="variable"/>
  </w:font>
  <w:font w:name="Liberation Sans">
    <w:altName w:val="Arial"/>
    <w:charset w:val="01" w:characterSet="utf-8"/>
    <w:family w:val="roman"/>
    <w:pitch w:val="variable"/>
  </w:font>
  <w:font w:name="Times New Roman">
    <w:charset w:val="01" w:characterSet="utf-8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end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5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end"/>
      <w:rPr/>
    </w:pPr>
    <w:r>
      <w:rPr/>
    </w:r>
  </w:p>
</w:ftr>
</file>

<file path=word/settings.xml><?xml version="1.0" encoding="utf-8"?>
<w:settings xmlns:w="http://schemas.openxmlformats.org/wordprocessingml/2006/main">
  <w:zoom w:percent="175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ru-RU" w:eastAsia="zh-CN" w:bidi="hi-IN"/>
    </w:rPr>
  </w:style>
  <w:style w:type="paragraph" w:styleId="Heading1">
    <w:name w:val="Heading 1"/>
    <w:basedOn w:val="Style11"/>
    <w:next w:val="BodyText"/>
    <w:qFormat/>
    <w:pPr>
      <w:spacing w:before="240" w:after="120"/>
      <w:outlineLvl w:val="0"/>
    </w:pPr>
    <w:rPr>
      <w:rFonts w:ascii="Liberation Serif" w:hAnsi="Liberation Serif" w:eastAsia="Noto Serif CJK SC" w:cs="Noto Sans Devanagari"/>
      <w:b/>
      <w:bCs/>
      <w:sz w:val="48"/>
      <w:szCs w:val="48"/>
    </w:rPr>
  </w:style>
  <w:style w:type="paragraph" w:styleId="Heading3">
    <w:name w:val="Heading 3"/>
    <w:basedOn w:val="Style11"/>
    <w:next w:val="BodyText"/>
    <w:qFormat/>
    <w:pPr>
      <w:spacing w:before="140" w:after="120"/>
      <w:outlineLvl w:val="2"/>
    </w:pPr>
    <w:rPr>
      <w:rFonts w:ascii="Liberation Serif" w:hAnsi="Liberation Serif" w:eastAsia="Noto Serif CJK SC" w:cs="Noto Sans Devanagari"/>
      <w:b/>
      <w:bCs/>
      <w:sz w:val="28"/>
      <w:szCs w:val="28"/>
    </w:rPr>
  </w:style>
  <w:style w:type="paragraph" w:styleId="Heading4">
    <w:name w:val="Heading 4"/>
    <w:basedOn w:val="Style11"/>
    <w:next w:val="BodyText"/>
    <w:qFormat/>
    <w:pPr>
      <w:spacing w:before="120" w:after="120"/>
      <w:outlineLvl w:val="3"/>
    </w:pPr>
    <w:rPr>
      <w:rFonts w:ascii="Liberation Serif" w:hAnsi="Liberation Serif" w:eastAsia="Noto Serif CJK SC" w:cs="Noto Sans Devanagari"/>
      <w:b/>
      <w:bCs/>
      <w:sz w:val="24"/>
      <w:szCs w:val="24"/>
    </w:rPr>
  </w:style>
  <w:style w:type="paragraph" w:styleId="Heading5">
    <w:name w:val="Heading 5"/>
    <w:basedOn w:val="Style11"/>
    <w:next w:val="BodyText"/>
    <w:qFormat/>
    <w:pPr>
      <w:spacing w:before="120" w:after="60"/>
      <w:outlineLvl w:val="4"/>
    </w:pPr>
    <w:rPr>
      <w:rFonts w:ascii="Liberation Serif" w:hAnsi="Liberation Serif" w:eastAsia="Noto Serif CJK SC" w:cs="Noto Sans Devanagari"/>
      <w:b/>
      <w:bCs/>
      <w:sz w:val="20"/>
      <w:szCs w:val="20"/>
    </w:rPr>
  </w:style>
  <w:style w:type="character" w:styleId="Strong">
    <w:name w:val="Strong"/>
    <w:qFormat/>
    <w:rPr>
      <w:b/>
      <w:bCs/>
    </w:rPr>
  </w:style>
  <w:style w:type="character" w:styleId="Emphasis">
    <w:name w:val="Emphasis"/>
    <w:qFormat/>
    <w:rPr>
      <w:i/>
      <w:iCs/>
    </w:rPr>
  </w:style>
  <w:style w:type="character" w:styleId="Style10">
    <w:name w:val="Маркеры"/>
    <w:qFormat/>
    <w:rPr>
      <w:rFonts w:ascii="OpenSymbol" w:hAnsi="OpenSymbol" w:eastAsia="OpenSymbol" w:cs="OpenSymbol"/>
    </w:rPr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paragraph" w:styleId="Style11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Style12">
    <w:name w:val="Указатель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qFormat/>
    <w:pPr>
      <w:spacing w:before="0" w:after="200"/>
      <w:ind w:start="720"/>
      <w:contextualSpacing/>
      <w:jc w:val="start"/>
    </w:pPr>
    <w:rPr>
      <w:rFonts w:eastAsia="Calibri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HeaderandFooter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hyperlink" Target="http://www.sno.pro1.ru/lib/npian/11.htm" TargetMode="External"/><Relationship Id="rId28" Type="http://schemas.openxmlformats.org/officeDocument/2006/relationships/hyperlink" Target="https://mathus.ru/phys/book.pdf" TargetMode="External"/><Relationship Id="rId29" Type="http://schemas.openxmlformats.org/officeDocument/2006/relationships/hyperlink" Target="https://allasamsonova.ru/rychag-tipy-vidy-rychagov" TargetMode="External"/><Relationship Id="rId30" Type="http://schemas.openxmlformats.org/officeDocument/2006/relationships/hyperlink" Target="https://library.vladimir.ru/news/arximed-dajte-mne-tochku-opory-i-ya-perevernu-zemlyu.html" TargetMode="External"/><Relationship Id="rId31" Type="http://schemas.openxmlformats.org/officeDocument/2006/relationships/hyperlink" Target="https://www.fizika.ru/fakultat/index.php?theme=3&amp;id=3286" TargetMode="External"/><Relationship Id="rId32" Type="http://schemas.openxmlformats.org/officeDocument/2006/relationships/hyperlink" Target="https://www.fizika.ru/fakultat/index.php?theme=3&amp;id=3278" TargetMode="External"/><Relationship Id="rId33" Type="http://schemas.openxmlformats.org/officeDocument/2006/relationships/footer" Target="footer1.xml"/><Relationship Id="rId34" Type="http://schemas.openxmlformats.org/officeDocument/2006/relationships/footer" Target="footer2.xml"/><Relationship Id="rId35" Type="http://schemas.openxmlformats.org/officeDocument/2006/relationships/footer" Target="footer3.xml"/><Relationship Id="rId36" Type="http://schemas.openxmlformats.org/officeDocument/2006/relationships/fontTable" Target="fontTable.xml"/><Relationship Id="rId37" Type="http://schemas.openxmlformats.org/officeDocument/2006/relationships/settings" Target="settings.xml"/><Relationship Id="rId3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800</TotalTime>
  <Application>LibreOffice/24.2.7.2$Linux_X86_64 LibreOffice_project/420$Build-2</Application>
  <AppVersion>15.0000</AppVersion>
  <Pages>18</Pages>
  <Words>1905</Words>
  <Characters>12299</Characters>
  <CharactersWithSpaces>14688</CharactersWithSpaces>
  <Paragraphs>123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2025-03-26T12:29:22Z</dcterms:created>
  <dc:creator/>
  <dc:description/>
  <dc:language>ru-RU</dc:language>
  <cp:lastModifiedBy/>
  <dcterms:modified xsi:type="dcterms:W3CDTF">2025-05-20T20:47:21Z</dcterms:modified>
  <cp:revision>18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